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0E80C" w14:textId="0172C964" w:rsidR="004D264B" w:rsidRPr="00F059FE" w:rsidRDefault="00640954">
      <w:pPr>
        <w:rPr>
          <w:b/>
        </w:rPr>
      </w:pPr>
      <w:r>
        <w:rPr>
          <w:b/>
        </w:rPr>
        <w:t>Bewertungshilfe</w:t>
      </w:r>
      <w:r w:rsidR="0097528B" w:rsidRPr="00F059FE">
        <w:rPr>
          <w:b/>
        </w:rPr>
        <w:t xml:space="preserve"> </w:t>
      </w:r>
      <w:r w:rsidR="00562B5B">
        <w:rPr>
          <w:b/>
        </w:rPr>
        <w:t>Querschnittsziele</w:t>
      </w:r>
      <w:r w:rsidR="00105FFD" w:rsidRPr="00F059FE">
        <w:rPr>
          <w:b/>
        </w:rPr>
        <w:t xml:space="preserve"> </w:t>
      </w:r>
      <w:r w:rsidR="00141995">
        <w:rPr>
          <w:b/>
        </w:rPr>
        <w:t>im EFRE/JTF-Programm NRW</w:t>
      </w:r>
      <w:r w:rsidR="000A0EA4">
        <w:rPr>
          <w:b/>
        </w:rPr>
        <w:t xml:space="preserve"> 2021-2027</w:t>
      </w:r>
    </w:p>
    <w:p w14:paraId="5B62C91C" w14:textId="274B32EC" w:rsidR="0097528B" w:rsidRPr="00562B5B" w:rsidRDefault="0097528B" w:rsidP="00D216A7">
      <w:pPr>
        <w:spacing w:after="120" w:line="276" w:lineRule="auto"/>
      </w:pPr>
    </w:p>
    <w:p w14:paraId="77CA0C36" w14:textId="7FBB4994" w:rsidR="00D216A7" w:rsidRPr="00640954" w:rsidRDefault="00105FFD" w:rsidP="00640954">
      <w:pPr>
        <w:pStyle w:val="Listenabsatz"/>
        <w:numPr>
          <w:ilvl w:val="0"/>
          <w:numId w:val="7"/>
        </w:numPr>
        <w:spacing w:after="120" w:line="276" w:lineRule="auto"/>
        <w:rPr>
          <w:b/>
          <w:sz w:val="24"/>
          <w:szCs w:val="24"/>
        </w:rPr>
      </w:pPr>
      <w:r w:rsidRPr="00640954">
        <w:rPr>
          <w:rFonts w:cs="Arial"/>
          <w:b/>
          <w:sz w:val="24"/>
          <w:szCs w:val="24"/>
        </w:rPr>
        <w:t>Projektauswahlkriterien</w:t>
      </w:r>
    </w:p>
    <w:p w14:paraId="5C08E12F" w14:textId="399A9038" w:rsidR="002B5A24" w:rsidRDefault="0097528B" w:rsidP="00D216A7">
      <w:pPr>
        <w:spacing w:after="120" w:line="276" w:lineRule="auto"/>
        <w:rPr>
          <w:rFonts w:cs="Arial"/>
        </w:rPr>
      </w:pPr>
      <w:r w:rsidRPr="00067F46">
        <w:rPr>
          <w:rFonts w:cs="Arial"/>
        </w:rPr>
        <w:t xml:space="preserve">Gemäß Artikel 73 der Verordnung (EU) 2021/1060 sind für die Auswahl von Vorhaben nichtdiskriminierende und transparente Kriterien und Verfahren festzulegen. </w:t>
      </w:r>
      <w:r w:rsidR="002B5A24">
        <w:rPr>
          <w:rFonts w:cs="Arial"/>
        </w:rPr>
        <w:t xml:space="preserve">Diese hat der EFRE/JTF-Begleitausschuss am </w:t>
      </w:r>
      <w:r w:rsidR="0014206C">
        <w:rPr>
          <w:rFonts w:cs="Arial"/>
        </w:rPr>
        <w:t>23</w:t>
      </w:r>
      <w:r w:rsidR="00926AEC">
        <w:rPr>
          <w:rFonts w:cs="Arial"/>
        </w:rPr>
        <w:t>.</w:t>
      </w:r>
      <w:r w:rsidR="002B5A24">
        <w:rPr>
          <w:rFonts w:cs="Arial"/>
        </w:rPr>
        <w:t xml:space="preserve">09.2022 beschlossen. Die Auswahlkriterien untergliedern sich in drei Kategorien </w:t>
      </w:r>
    </w:p>
    <w:p w14:paraId="6A0F9A70" w14:textId="56ACFEDC" w:rsidR="002B5A24" w:rsidRPr="002B5A24" w:rsidRDefault="002B5A24" w:rsidP="002B5A24">
      <w:pPr>
        <w:pStyle w:val="Listenabsatz"/>
        <w:numPr>
          <w:ilvl w:val="0"/>
          <w:numId w:val="1"/>
        </w:numPr>
        <w:autoSpaceDE w:val="0"/>
        <w:autoSpaceDN w:val="0"/>
        <w:adjustRightInd w:val="0"/>
        <w:rPr>
          <w:rFonts w:cs="Arial"/>
          <w:sz w:val="24"/>
          <w:szCs w:val="24"/>
        </w:rPr>
      </w:pPr>
      <w:r w:rsidRPr="002B5A24">
        <w:rPr>
          <w:rFonts w:cs="Arial"/>
          <w:b/>
          <w:sz w:val="24"/>
          <w:szCs w:val="24"/>
        </w:rPr>
        <w:t>Kategorie 1</w:t>
      </w:r>
      <w:r w:rsidRPr="002B5A24">
        <w:rPr>
          <w:rFonts w:cs="Arial"/>
          <w:sz w:val="24"/>
          <w:szCs w:val="24"/>
        </w:rPr>
        <w:t xml:space="preserve">: </w:t>
      </w:r>
      <w:r>
        <w:rPr>
          <w:rFonts w:cs="Arial"/>
          <w:sz w:val="24"/>
          <w:szCs w:val="24"/>
        </w:rPr>
        <w:br/>
      </w:r>
      <w:r w:rsidRPr="002B5A24">
        <w:rPr>
          <w:rFonts w:cs="Arial"/>
          <w:sz w:val="24"/>
          <w:szCs w:val="24"/>
        </w:rPr>
        <w:t>40 % der Bewertung erfolgt anhand von Auswahlkriterien, die in allen Spezifischen Zielen gleich sind;</w:t>
      </w:r>
    </w:p>
    <w:p w14:paraId="3A89DF82" w14:textId="45BA30F0" w:rsidR="002B5A24" w:rsidRPr="002B5A24" w:rsidRDefault="002B5A24" w:rsidP="002B5A2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Arial"/>
          <w:sz w:val="24"/>
          <w:szCs w:val="24"/>
        </w:rPr>
      </w:pPr>
      <w:r w:rsidRPr="002B5A24">
        <w:rPr>
          <w:rFonts w:cs="Arial"/>
          <w:b/>
          <w:sz w:val="24"/>
          <w:szCs w:val="24"/>
        </w:rPr>
        <w:t>Kategorie 2</w:t>
      </w:r>
      <w:r w:rsidRPr="002B5A24">
        <w:rPr>
          <w:rFonts w:cs="Arial"/>
          <w:sz w:val="24"/>
          <w:szCs w:val="24"/>
        </w:rPr>
        <w:t xml:space="preserve">: </w:t>
      </w:r>
      <w:r>
        <w:rPr>
          <w:rFonts w:cs="Arial"/>
          <w:sz w:val="24"/>
          <w:szCs w:val="24"/>
        </w:rPr>
        <w:br/>
      </w:r>
      <w:r w:rsidRPr="002B5A24">
        <w:rPr>
          <w:rFonts w:cs="Arial"/>
          <w:sz w:val="24"/>
          <w:szCs w:val="24"/>
        </w:rPr>
        <w:t>40 % der Bewertung ergeben sich aus jeweils zwei Kriterien eines spezifischen Ziels, die jeweils mit 20 % gewichtet werden;</w:t>
      </w:r>
    </w:p>
    <w:p w14:paraId="0D49391F" w14:textId="12F43A10" w:rsidR="002B5A24" w:rsidRPr="002B5A24" w:rsidRDefault="002B5A24" w:rsidP="002B5A24">
      <w:pPr>
        <w:pStyle w:val="Listenabsatz"/>
        <w:numPr>
          <w:ilvl w:val="0"/>
          <w:numId w:val="1"/>
        </w:numPr>
        <w:rPr>
          <w:rFonts w:cs="Arial"/>
          <w:sz w:val="24"/>
          <w:szCs w:val="24"/>
        </w:rPr>
      </w:pPr>
      <w:r w:rsidRPr="002B5A24">
        <w:rPr>
          <w:rFonts w:cs="Arial"/>
          <w:b/>
          <w:sz w:val="24"/>
          <w:szCs w:val="24"/>
        </w:rPr>
        <w:t>Kategorie 3</w:t>
      </w:r>
      <w:r w:rsidRPr="002B5A24">
        <w:rPr>
          <w:rFonts w:cs="Arial"/>
          <w:sz w:val="24"/>
          <w:szCs w:val="24"/>
        </w:rPr>
        <w:t xml:space="preserve">: </w:t>
      </w:r>
      <w:r>
        <w:rPr>
          <w:rFonts w:cs="Arial"/>
          <w:sz w:val="24"/>
          <w:szCs w:val="24"/>
        </w:rPr>
        <w:br/>
      </w:r>
      <w:r w:rsidRPr="002B5A24">
        <w:rPr>
          <w:rFonts w:cs="Arial"/>
          <w:sz w:val="24"/>
          <w:szCs w:val="24"/>
        </w:rPr>
        <w:t>20</w:t>
      </w:r>
      <w:r>
        <w:rPr>
          <w:rFonts w:cs="Arial"/>
          <w:sz w:val="24"/>
          <w:szCs w:val="24"/>
        </w:rPr>
        <w:t xml:space="preserve"> </w:t>
      </w:r>
      <w:r w:rsidRPr="002B5A24">
        <w:rPr>
          <w:rFonts w:cs="Arial"/>
          <w:sz w:val="24"/>
          <w:szCs w:val="24"/>
        </w:rPr>
        <w:t xml:space="preserve">% der Auswahlkriterien können aufruf- bzw. wettbewerbsspezifisch durch die für den jeweiligen Aufruf/Wettbewerb verantwortlichen Ministerien vergeben werden. </w:t>
      </w:r>
    </w:p>
    <w:p w14:paraId="6D8B51FE" w14:textId="77777777" w:rsidR="002B5A24" w:rsidRDefault="002B5A24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</w:p>
    <w:p w14:paraId="40ADA661" w14:textId="721D6A7E" w:rsidR="00F059FE" w:rsidRDefault="00723C66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  <w:r>
        <w:rPr>
          <w:rFonts w:cs="Arial"/>
        </w:rPr>
        <w:t xml:space="preserve">Der Begleitausschuss hat auch ein Punktesystem zur </w:t>
      </w:r>
      <w:r w:rsidR="00F059FE" w:rsidRPr="00F059FE">
        <w:rPr>
          <w:rFonts w:cs="Arial"/>
        </w:rPr>
        <w:t>Bewertung</w:t>
      </w:r>
      <w:r>
        <w:rPr>
          <w:rFonts w:cs="Arial"/>
        </w:rPr>
        <w:t xml:space="preserve"> der Auswahlk</w:t>
      </w:r>
      <w:r w:rsidR="00F059FE" w:rsidRPr="00F059FE">
        <w:rPr>
          <w:rFonts w:cs="Arial"/>
        </w:rPr>
        <w:t xml:space="preserve">riterien </w:t>
      </w:r>
      <w:r>
        <w:rPr>
          <w:rFonts w:cs="Arial"/>
        </w:rPr>
        <w:t xml:space="preserve">beschlossen.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8364"/>
      </w:tblGrid>
      <w:tr w:rsidR="00F059FE" w:rsidRPr="004607D1" w14:paraId="67FDCF2C" w14:textId="77777777" w:rsidTr="002B5A24">
        <w:trPr>
          <w:cantSplit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D49B6C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0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5B6350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trifft nicht oder kaum zu</w:t>
            </w:r>
          </w:p>
        </w:tc>
      </w:tr>
      <w:tr w:rsidR="00F059FE" w:rsidRPr="004607D1" w14:paraId="68750C8F" w14:textId="77777777" w:rsidTr="002B5A24">
        <w:trPr>
          <w:cantSplit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1C665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1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24CA63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trifft teilweise zu, es bestehen noch erhebliche Verbesserungsmöglichkeiten</w:t>
            </w:r>
          </w:p>
        </w:tc>
      </w:tr>
      <w:tr w:rsidR="00F059FE" w:rsidRPr="004607D1" w14:paraId="444B9681" w14:textId="77777777" w:rsidTr="002B5A24">
        <w:trPr>
          <w:cantSplit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6FA68F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2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55A944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trifft größtenteils zu, aber einige Aspekte könnten noch verbessert werden</w:t>
            </w:r>
          </w:p>
        </w:tc>
      </w:tr>
      <w:tr w:rsidR="00F059FE" w:rsidRPr="004607D1" w14:paraId="2FA554A5" w14:textId="77777777" w:rsidTr="002B5A24">
        <w:trPr>
          <w:cantSplit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D9B5FF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3</w:t>
            </w:r>
          </w:p>
        </w:tc>
        <w:tc>
          <w:tcPr>
            <w:tcW w:w="8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27B707" w14:textId="77777777" w:rsidR="00F059FE" w:rsidRPr="004607D1" w:rsidRDefault="00F059FE" w:rsidP="00D216A7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trifft voll und ganz zu</w:t>
            </w:r>
          </w:p>
        </w:tc>
      </w:tr>
    </w:tbl>
    <w:p w14:paraId="74AD1442" w14:textId="77777777" w:rsidR="00D216A7" w:rsidRDefault="00D216A7" w:rsidP="00D216A7">
      <w:pPr>
        <w:spacing w:after="120" w:line="276" w:lineRule="auto"/>
        <w:rPr>
          <w:rFonts w:cs="Arial"/>
        </w:rPr>
      </w:pPr>
    </w:p>
    <w:p w14:paraId="2EEF0B68" w14:textId="77777777" w:rsidR="00F059FE" w:rsidRPr="004607D1" w:rsidRDefault="00F059FE" w:rsidP="00D216A7">
      <w:pPr>
        <w:spacing w:after="120" w:line="276" w:lineRule="auto"/>
        <w:rPr>
          <w:rFonts w:cs="Arial"/>
        </w:rPr>
      </w:pPr>
      <w:r w:rsidRPr="004607D1">
        <w:rPr>
          <w:rFonts w:cs="Arial"/>
        </w:rPr>
        <w:t xml:space="preserve">Ein </w:t>
      </w:r>
      <w:r w:rsidR="00723C66">
        <w:rPr>
          <w:rFonts w:cs="Arial"/>
        </w:rPr>
        <w:t>Vorhaben</w:t>
      </w:r>
      <w:r w:rsidRPr="004607D1">
        <w:rPr>
          <w:rFonts w:cs="Arial"/>
        </w:rPr>
        <w:t xml:space="preserve"> kann insgesamt bis zu 300 Punkte erhalten.</w:t>
      </w:r>
      <w:r w:rsidR="00065A79">
        <w:rPr>
          <w:rFonts w:cs="Arial"/>
        </w:rPr>
        <w:t xml:space="preserve"> </w:t>
      </w:r>
    </w:p>
    <w:p w14:paraId="2395701F" w14:textId="77777777" w:rsidR="00F059FE" w:rsidRPr="004607D1" w:rsidRDefault="00F059FE" w:rsidP="00D216A7">
      <w:pPr>
        <w:spacing w:after="120" w:line="276" w:lineRule="auto"/>
        <w:rPr>
          <w:rFonts w:cs="Arial"/>
        </w:rPr>
      </w:pPr>
      <w:r w:rsidRPr="004607D1">
        <w:rPr>
          <w:rFonts w:cs="Arial"/>
        </w:rPr>
        <w:t>Für die Feststellung der Förderwürdigkeit sind mindestens 200 Punkte erforderlich.</w:t>
      </w:r>
    </w:p>
    <w:p w14:paraId="36FB18D9" w14:textId="6D893F4F" w:rsidR="00065A79" w:rsidRDefault="00065A79" w:rsidP="00D216A7">
      <w:pPr>
        <w:spacing w:after="120" w:line="276" w:lineRule="auto"/>
        <w:rPr>
          <w:rFonts w:cs="Arial"/>
        </w:rPr>
      </w:pPr>
      <w:r>
        <w:rPr>
          <w:rFonts w:cs="Arial"/>
        </w:rPr>
        <w:t xml:space="preserve">Die Gesamtpunktzahl ergibt sich aus der Multiplikation der </w:t>
      </w:r>
      <w:r w:rsidR="00662C5D">
        <w:rPr>
          <w:rFonts w:cs="Arial"/>
        </w:rPr>
        <w:t>erreichten Punktzahl für das jeweilige Auswahlkriterium</w:t>
      </w:r>
      <w:r>
        <w:rPr>
          <w:rFonts w:cs="Arial"/>
        </w:rPr>
        <w:t xml:space="preserve"> mit der </w:t>
      </w:r>
      <w:r w:rsidR="00662C5D">
        <w:rPr>
          <w:rFonts w:cs="Arial"/>
        </w:rPr>
        <w:t>dafür vorgesehenen prozentualen Gewichtung</w:t>
      </w:r>
      <w:r w:rsidR="00105FFD">
        <w:rPr>
          <w:rFonts w:cs="Arial"/>
        </w:rPr>
        <w:t>.</w:t>
      </w:r>
    </w:p>
    <w:p w14:paraId="59F51087" w14:textId="77777777" w:rsidR="00F059FE" w:rsidRPr="004607D1" w:rsidRDefault="00F059FE" w:rsidP="00D216A7">
      <w:pPr>
        <w:spacing w:after="120" w:line="276" w:lineRule="auto"/>
        <w:rPr>
          <w:rFonts w:cs="Arial"/>
        </w:rPr>
      </w:pPr>
      <w:r w:rsidRPr="004607D1">
        <w:rPr>
          <w:rFonts w:cs="Arial"/>
        </w:rPr>
        <w:t xml:space="preserve">Wird ein </w:t>
      </w:r>
      <w:r w:rsidR="00723C66">
        <w:rPr>
          <w:rFonts w:cs="Arial"/>
        </w:rPr>
        <w:t>Vorhaben</w:t>
      </w:r>
      <w:r w:rsidRPr="004607D1">
        <w:rPr>
          <w:rFonts w:cs="Arial"/>
        </w:rPr>
        <w:t xml:space="preserve"> in mindestens einem Auswahlkriterium mit 0 Punkten bewertet, so beträgt die Gesamtpunktzahl für das Projekt 0 Punkte. Es ist somit nicht förderwürdig.</w:t>
      </w:r>
    </w:p>
    <w:p w14:paraId="2987E0C3" w14:textId="77777777" w:rsidR="00723C66" w:rsidRDefault="00723C66" w:rsidP="00D216A7">
      <w:pPr>
        <w:spacing w:after="120" w:line="276" w:lineRule="auto"/>
        <w:rPr>
          <w:rFonts w:cs="Arial"/>
        </w:rPr>
      </w:pPr>
      <w:r>
        <w:rPr>
          <w:rFonts w:cs="Arial"/>
        </w:rPr>
        <w:t>Das Punktesystem ist in Aufrufen und Wettbewerben Grundlage für die Bewertung der Vorhaben.</w:t>
      </w:r>
    </w:p>
    <w:p w14:paraId="23424E8A" w14:textId="5B86087B" w:rsidR="002B5A24" w:rsidRPr="00562B5B" w:rsidRDefault="002B5A24" w:rsidP="00562B5B">
      <w:pPr>
        <w:spacing w:after="120" w:line="276" w:lineRule="auto"/>
        <w:rPr>
          <w:rFonts w:cs="Arial"/>
          <w:b/>
        </w:rPr>
      </w:pPr>
    </w:p>
    <w:p w14:paraId="48D9D3D9" w14:textId="77777777" w:rsidR="00640954" w:rsidRDefault="00640954">
      <w:pPr>
        <w:spacing w:after="160" w:line="259" w:lineRule="auto"/>
        <w:rPr>
          <w:rFonts w:eastAsia="Times New Roman" w:cs="Arial"/>
          <w:b/>
          <w:lang w:eastAsia="de-DE"/>
        </w:rPr>
      </w:pPr>
      <w:r>
        <w:rPr>
          <w:rFonts w:cs="Arial"/>
          <w:b/>
        </w:rPr>
        <w:br w:type="page"/>
      </w:r>
    </w:p>
    <w:p w14:paraId="55CD9894" w14:textId="67B94004" w:rsidR="002B5A24" w:rsidRDefault="002B5A24" w:rsidP="00640954">
      <w:pPr>
        <w:pStyle w:val="Listenabsatz"/>
        <w:numPr>
          <w:ilvl w:val="0"/>
          <w:numId w:val="7"/>
        </w:numPr>
        <w:spacing w:after="120" w:line="276" w:lineRule="auto"/>
        <w:rPr>
          <w:rFonts w:cs="Arial"/>
          <w:b/>
          <w:sz w:val="24"/>
          <w:szCs w:val="24"/>
        </w:rPr>
      </w:pPr>
      <w:r w:rsidRPr="002B5A24">
        <w:rPr>
          <w:rFonts w:cs="Arial"/>
          <w:b/>
          <w:sz w:val="24"/>
          <w:szCs w:val="24"/>
        </w:rPr>
        <w:lastRenderedPageBreak/>
        <w:t>Auswahlkriterien der Kategorie 1</w:t>
      </w:r>
    </w:p>
    <w:p w14:paraId="3BC388DC" w14:textId="41CAE839" w:rsidR="009B3AAB" w:rsidRPr="009B3AAB" w:rsidRDefault="009B3AAB" w:rsidP="002B5A24">
      <w:pPr>
        <w:spacing w:after="120" w:line="276" w:lineRule="auto"/>
        <w:rPr>
          <w:rFonts w:cs="Arial"/>
        </w:rPr>
      </w:pPr>
      <w:r>
        <w:rPr>
          <w:rFonts w:cs="Arial"/>
        </w:rPr>
        <w:t xml:space="preserve">Die Auswahlkriterien der Kategorie 1 sind </w:t>
      </w:r>
      <w:r w:rsidR="00125C08">
        <w:rPr>
          <w:rFonts w:cs="Arial"/>
        </w:rPr>
        <w:t>ebenfalls</w:t>
      </w:r>
      <w:r>
        <w:rPr>
          <w:rFonts w:cs="Arial"/>
        </w:rPr>
        <w:t xml:space="preserve"> in drei Kriterien unterteilt: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217"/>
        <w:gridCol w:w="647"/>
      </w:tblGrid>
      <w:tr w:rsidR="002B5A24" w:rsidRPr="004607D1" w14:paraId="560DC0DB" w14:textId="77777777" w:rsidTr="00125C08">
        <w:tc>
          <w:tcPr>
            <w:tcW w:w="8217" w:type="dxa"/>
            <w:shd w:val="clear" w:color="auto" w:fill="A6A6A6" w:themeFill="background1" w:themeFillShade="A6"/>
          </w:tcPr>
          <w:p w14:paraId="44FFE302" w14:textId="77777777" w:rsidR="002B5A24" w:rsidRPr="009B3AAB" w:rsidRDefault="002B5A24" w:rsidP="009B3AAB">
            <w:pPr>
              <w:spacing w:after="120" w:line="276" w:lineRule="auto"/>
              <w:rPr>
                <w:rFonts w:cs="Arial"/>
                <w:b/>
              </w:rPr>
            </w:pPr>
            <w:r w:rsidRPr="009B3AAB">
              <w:rPr>
                <w:rFonts w:cs="Arial"/>
                <w:b/>
              </w:rPr>
              <w:t>Auswahlkriterium</w:t>
            </w:r>
          </w:p>
        </w:tc>
        <w:tc>
          <w:tcPr>
            <w:tcW w:w="647" w:type="dxa"/>
            <w:shd w:val="clear" w:color="auto" w:fill="A6A6A6" w:themeFill="background1" w:themeFillShade="A6"/>
          </w:tcPr>
          <w:p w14:paraId="27B496E6" w14:textId="77777777" w:rsidR="002B5A24" w:rsidRPr="009B3AAB" w:rsidRDefault="002B5A24" w:rsidP="009B3AAB">
            <w:pPr>
              <w:spacing w:after="120" w:line="276" w:lineRule="auto"/>
              <w:rPr>
                <w:rFonts w:cs="Arial"/>
              </w:rPr>
            </w:pPr>
            <w:r w:rsidRPr="009B3AAB">
              <w:rPr>
                <w:rFonts w:cs="Arial"/>
              </w:rPr>
              <w:t>%</w:t>
            </w:r>
          </w:p>
        </w:tc>
      </w:tr>
      <w:tr w:rsidR="002B5A24" w:rsidRPr="004607D1" w14:paraId="01490D93" w14:textId="77777777" w:rsidTr="00125C08">
        <w:tc>
          <w:tcPr>
            <w:tcW w:w="8217" w:type="dxa"/>
          </w:tcPr>
          <w:p w14:paraId="3CC8B563" w14:textId="21920052" w:rsidR="002B5A24" w:rsidRPr="004607D1" w:rsidRDefault="002B5A24" w:rsidP="009B3AAB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Konzeptioneller Ansatz, Qualität und Plausibilität der Umsetzungsstrategie</w:t>
            </w:r>
          </w:p>
        </w:tc>
        <w:tc>
          <w:tcPr>
            <w:tcW w:w="647" w:type="dxa"/>
          </w:tcPr>
          <w:p w14:paraId="7AE3693C" w14:textId="77777777" w:rsidR="002B5A24" w:rsidRPr="004607D1" w:rsidRDefault="002B5A24" w:rsidP="009B3AAB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10</w:t>
            </w:r>
          </w:p>
        </w:tc>
      </w:tr>
      <w:tr w:rsidR="002B5A24" w:rsidRPr="004607D1" w14:paraId="17F7C5F7" w14:textId="77777777" w:rsidTr="00125C08">
        <w:tc>
          <w:tcPr>
            <w:tcW w:w="8217" w:type="dxa"/>
          </w:tcPr>
          <w:p w14:paraId="6A9A6DBB" w14:textId="77777777" w:rsidR="002B5A24" w:rsidRPr="004607D1" w:rsidRDefault="002B5A24" w:rsidP="009B3AAB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Angemessenheit des Mitteleinsatzes, Modellcharakter und Übertragbarkeit des vorgeschlagenen Vorhabens</w:t>
            </w:r>
          </w:p>
        </w:tc>
        <w:tc>
          <w:tcPr>
            <w:tcW w:w="647" w:type="dxa"/>
          </w:tcPr>
          <w:p w14:paraId="41709B04" w14:textId="77777777" w:rsidR="002B5A24" w:rsidRPr="004607D1" w:rsidRDefault="002B5A24" w:rsidP="009B3AAB">
            <w:pPr>
              <w:spacing w:after="120" w:line="276" w:lineRule="auto"/>
              <w:rPr>
                <w:rFonts w:cs="Arial"/>
              </w:rPr>
            </w:pPr>
            <w:r w:rsidRPr="004607D1">
              <w:rPr>
                <w:rFonts w:cs="Arial"/>
              </w:rPr>
              <w:t>10</w:t>
            </w:r>
          </w:p>
        </w:tc>
      </w:tr>
      <w:tr w:rsidR="002B5A24" w:rsidRPr="004607D1" w14:paraId="1C6F5403" w14:textId="77777777" w:rsidTr="00125C08">
        <w:tc>
          <w:tcPr>
            <w:tcW w:w="8217" w:type="dxa"/>
          </w:tcPr>
          <w:p w14:paraId="1A3CBD68" w14:textId="40103D11" w:rsidR="002B5A24" w:rsidRPr="009B3AAB" w:rsidRDefault="002B5A24" w:rsidP="009B3AAB">
            <w:pPr>
              <w:spacing w:after="120" w:line="276" w:lineRule="auto"/>
              <w:rPr>
                <w:rFonts w:cs="Arial"/>
                <w:b/>
              </w:rPr>
            </w:pPr>
            <w:r w:rsidRPr="009B3AAB">
              <w:rPr>
                <w:rFonts w:cs="Arial"/>
                <w:b/>
              </w:rPr>
              <w:t>Beitrag des Vorhabens zu den bereichsübergreifenden Grundsätzen der</w:t>
            </w:r>
            <w:r w:rsidR="009B3AAB" w:rsidRPr="009B3AAB">
              <w:rPr>
                <w:rFonts w:cs="Arial"/>
                <w:b/>
              </w:rPr>
              <w:t xml:space="preserve"> </w:t>
            </w:r>
            <w:r w:rsidRPr="009B3AAB">
              <w:rPr>
                <w:rFonts w:cs="Arial"/>
                <w:b/>
              </w:rPr>
              <w:t>Geschlechtergleichstellung und Nichtdiskriminierung sowie der ökologischen, ökonomischen und sozialen Nachhaltigkeit</w:t>
            </w:r>
          </w:p>
        </w:tc>
        <w:tc>
          <w:tcPr>
            <w:tcW w:w="647" w:type="dxa"/>
          </w:tcPr>
          <w:p w14:paraId="273AF901" w14:textId="77777777" w:rsidR="002B5A24" w:rsidRPr="009B3AAB" w:rsidRDefault="002B5A24" w:rsidP="009B3AAB">
            <w:pPr>
              <w:spacing w:after="120" w:line="276" w:lineRule="auto"/>
              <w:rPr>
                <w:rFonts w:cs="Arial"/>
                <w:b/>
              </w:rPr>
            </w:pPr>
            <w:r w:rsidRPr="009B3AAB">
              <w:rPr>
                <w:rFonts w:cs="Arial"/>
                <w:b/>
              </w:rPr>
              <w:t>20</w:t>
            </w:r>
          </w:p>
        </w:tc>
      </w:tr>
    </w:tbl>
    <w:p w14:paraId="43D8F919" w14:textId="62241BC0" w:rsidR="002B5A24" w:rsidRDefault="002B5A24" w:rsidP="002B5A24">
      <w:pPr>
        <w:spacing w:after="120" w:line="276" w:lineRule="auto"/>
        <w:rPr>
          <w:rFonts w:cs="Arial"/>
        </w:rPr>
      </w:pPr>
    </w:p>
    <w:p w14:paraId="2C7CA6DA" w14:textId="0FA9957F" w:rsidR="00125C08" w:rsidRDefault="00125C08" w:rsidP="00125C08">
      <w:pPr>
        <w:spacing w:after="120" w:line="276" w:lineRule="auto"/>
        <w:rPr>
          <w:rFonts w:cs="Arial"/>
        </w:rPr>
      </w:pPr>
      <w:r>
        <w:rPr>
          <w:rFonts w:cs="Arial"/>
        </w:rPr>
        <w:t>Im Weiteren wird auf das Auswahlkriterium „Beitrag des Vorhabens</w:t>
      </w:r>
      <w:r w:rsidRPr="00633FEC">
        <w:rPr>
          <w:rFonts w:cs="Arial"/>
        </w:rPr>
        <w:t xml:space="preserve"> zu den bereichsübergreifenden Grundsätzen der Geschlechtergleichstellung und Nichtdiskriminierung sowie der ökologischen, ökonomischen und sozialen Nachhaltigkeit“</w:t>
      </w:r>
      <w:r>
        <w:rPr>
          <w:rFonts w:cs="Arial"/>
        </w:rPr>
        <w:t xml:space="preserve"> näher eingegangen.</w:t>
      </w:r>
    </w:p>
    <w:p w14:paraId="589B3859" w14:textId="77777777" w:rsidR="002B5A24" w:rsidRDefault="002B5A24" w:rsidP="00D216A7">
      <w:pPr>
        <w:spacing w:after="120" w:line="276" w:lineRule="auto"/>
        <w:rPr>
          <w:rFonts w:cs="Arial"/>
        </w:rPr>
      </w:pPr>
    </w:p>
    <w:p w14:paraId="42FF5C55" w14:textId="745E007D" w:rsidR="00CF6AA5" w:rsidRPr="00CF6AA5" w:rsidRDefault="009B3AAB" w:rsidP="00640954">
      <w:pPr>
        <w:pStyle w:val="Listenabsatz"/>
        <w:numPr>
          <w:ilvl w:val="0"/>
          <w:numId w:val="7"/>
        </w:numPr>
        <w:spacing w:after="120" w:line="276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Auswahlkriterium „</w:t>
      </w:r>
      <w:r w:rsidR="00CF6AA5" w:rsidRPr="00CF6AA5">
        <w:rPr>
          <w:rFonts w:cs="Arial"/>
          <w:b/>
          <w:sz w:val="24"/>
          <w:szCs w:val="24"/>
        </w:rPr>
        <w:t>B</w:t>
      </w:r>
      <w:r w:rsidR="00CF6AA5">
        <w:rPr>
          <w:rFonts w:cs="Arial"/>
          <w:b/>
          <w:sz w:val="24"/>
          <w:szCs w:val="24"/>
        </w:rPr>
        <w:t>ereichsübergreifende</w:t>
      </w:r>
      <w:r w:rsidR="00CF6AA5" w:rsidRPr="00CF6AA5">
        <w:rPr>
          <w:rFonts w:cs="Arial"/>
          <w:b/>
          <w:sz w:val="24"/>
          <w:szCs w:val="24"/>
        </w:rPr>
        <w:t xml:space="preserve"> Grundsät</w:t>
      </w:r>
      <w:r w:rsidR="00CF6AA5">
        <w:rPr>
          <w:rFonts w:cs="Arial"/>
          <w:b/>
          <w:sz w:val="24"/>
          <w:szCs w:val="24"/>
        </w:rPr>
        <w:t>ze</w:t>
      </w:r>
      <w:r w:rsidR="00CF6AA5" w:rsidRPr="00CF6AA5">
        <w:rPr>
          <w:rFonts w:cs="Arial"/>
          <w:b/>
          <w:sz w:val="24"/>
          <w:szCs w:val="24"/>
        </w:rPr>
        <w:t xml:space="preserve"> der Geschlechtergleichstellung und Nichtdiskriminierung sowie der ökologischen, ökonomischen und sozialen Nachhaltigkeit</w:t>
      </w:r>
      <w:r>
        <w:rPr>
          <w:rFonts w:cs="Arial"/>
          <w:b/>
          <w:sz w:val="24"/>
          <w:szCs w:val="24"/>
        </w:rPr>
        <w:t>“</w:t>
      </w:r>
    </w:p>
    <w:p w14:paraId="1CD7B2E1" w14:textId="77777777" w:rsidR="00125C08" w:rsidRDefault="00125C08" w:rsidP="00125C08">
      <w:pPr>
        <w:spacing w:after="120" w:line="276" w:lineRule="auto"/>
        <w:rPr>
          <w:rFonts w:cs="Arial"/>
        </w:rPr>
      </w:pPr>
      <w:r>
        <w:rPr>
          <w:rFonts w:cs="Arial"/>
        </w:rPr>
        <w:t xml:space="preserve">Entsprechend dem o.g. Beschluss des Begleitausschusses kann ein Vorhaben für das Auswahlkriterium </w:t>
      </w:r>
      <w:r w:rsidRPr="00633FEC">
        <w:rPr>
          <w:rFonts w:cs="Arial"/>
        </w:rPr>
        <w:t>„Beitrag des Vorhabens zu den bereichsübergreifenden Grundsätzen der Geschlechtergleichstellung und Nichtdiskriminierung sowie der ökologischen, ökonomischen und sozialen Nachhaltigkeit</w:t>
      </w:r>
      <w:r>
        <w:rPr>
          <w:rFonts w:cs="Arial"/>
        </w:rPr>
        <w:t>“ maximal 3 Punkte erreichen, die mit dem Faktor 20 (Gewichtung des Auswahlkriteriums) multipliziert maximal 60 Punkte ergeben.</w:t>
      </w:r>
    </w:p>
    <w:p w14:paraId="3404B9D2" w14:textId="4C2BE104" w:rsidR="00065A79" w:rsidRPr="005C7378" w:rsidRDefault="005C7378" w:rsidP="00D216A7">
      <w:pPr>
        <w:spacing w:after="120" w:line="276" w:lineRule="auto"/>
        <w:rPr>
          <w:rFonts w:cs="Arial"/>
          <w:strike/>
        </w:rPr>
      </w:pPr>
      <w:r>
        <w:rPr>
          <w:rFonts w:cs="Arial"/>
        </w:rPr>
        <w:t>D</w:t>
      </w:r>
      <w:r w:rsidR="008679EA">
        <w:rPr>
          <w:rFonts w:cs="Arial"/>
        </w:rPr>
        <w:t>as Auswahlk</w:t>
      </w:r>
      <w:r w:rsidR="00065A79">
        <w:rPr>
          <w:rFonts w:cs="Arial"/>
        </w:rPr>
        <w:t xml:space="preserve">riterium </w:t>
      </w:r>
      <w:r>
        <w:rPr>
          <w:rFonts w:cs="Arial"/>
        </w:rPr>
        <w:t>„</w:t>
      </w:r>
      <w:r w:rsidR="00065A79">
        <w:rPr>
          <w:rFonts w:cs="Arial"/>
        </w:rPr>
        <w:t>Bereichsübergreifende Grundsätze</w:t>
      </w:r>
      <w:r>
        <w:rPr>
          <w:rFonts w:cs="Arial"/>
        </w:rPr>
        <w:t>“</w:t>
      </w:r>
      <w:r w:rsidR="00065A79">
        <w:rPr>
          <w:rFonts w:cs="Arial"/>
        </w:rPr>
        <w:t xml:space="preserve"> </w:t>
      </w:r>
      <w:r>
        <w:rPr>
          <w:rFonts w:cs="Arial"/>
        </w:rPr>
        <w:t>setzt sich</w:t>
      </w:r>
      <w:r w:rsidR="00105FFD">
        <w:rPr>
          <w:rFonts w:cs="Arial"/>
        </w:rPr>
        <w:t xml:space="preserve"> </w:t>
      </w:r>
      <w:r w:rsidR="00065A79">
        <w:rPr>
          <w:rFonts w:cs="Arial"/>
        </w:rPr>
        <w:t xml:space="preserve">aus </w:t>
      </w:r>
      <w:r w:rsidR="00105FFD">
        <w:rPr>
          <w:rFonts w:cs="Arial"/>
        </w:rPr>
        <w:t>mehreren</w:t>
      </w:r>
      <w:r w:rsidR="00065A79">
        <w:rPr>
          <w:rFonts w:cs="Arial"/>
        </w:rPr>
        <w:t xml:space="preserve"> Bestandteilen</w:t>
      </w:r>
      <w:r>
        <w:rPr>
          <w:rFonts w:cs="Arial"/>
        </w:rPr>
        <w:t xml:space="preserve"> zusammen</w:t>
      </w:r>
      <w:r w:rsidR="00105FFD">
        <w:rPr>
          <w:rFonts w:cs="Arial"/>
        </w:rPr>
        <w:t xml:space="preserve">. Diese </w:t>
      </w:r>
      <w:r w:rsidR="00125C08">
        <w:rPr>
          <w:rFonts w:cs="Arial"/>
        </w:rPr>
        <w:t>werden zunächst einzeln bewertet</w:t>
      </w:r>
      <w:r w:rsidR="00105FFD">
        <w:rPr>
          <w:rFonts w:cs="Arial"/>
        </w:rPr>
        <w:t xml:space="preserve"> und danach </w:t>
      </w:r>
      <w:r w:rsidR="00065A79">
        <w:rPr>
          <w:rFonts w:cs="Arial"/>
        </w:rPr>
        <w:t>in das vom Begleitausschuss beschloss</w:t>
      </w:r>
      <w:r>
        <w:rPr>
          <w:rFonts w:cs="Arial"/>
        </w:rPr>
        <w:t>ene Punktesystem überführt</w:t>
      </w:r>
      <w:r w:rsidR="00065A79">
        <w:rPr>
          <w:rFonts w:cs="Arial"/>
        </w:rPr>
        <w:t>.</w:t>
      </w:r>
    </w:p>
    <w:p w14:paraId="34598B2D" w14:textId="6D4B4B4F" w:rsidR="00F059FE" w:rsidRDefault="00D216A7" w:rsidP="00D216A7">
      <w:pPr>
        <w:spacing w:after="120" w:line="276" w:lineRule="auto"/>
        <w:rPr>
          <w:rFonts w:cs="Arial"/>
        </w:rPr>
      </w:pPr>
      <w:r w:rsidRPr="00105FFD">
        <w:rPr>
          <w:rFonts w:cs="Arial"/>
        </w:rPr>
        <w:t xml:space="preserve">Die Punktzahl </w:t>
      </w:r>
      <w:r w:rsidR="00105FFD">
        <w:rPr>
          <w:rFonts w:cs="Arial"/>
        </w:rPr>
        <w:t xml:space="preserve">für die bereichsübergreifenden Grundsätze </w:t>
      </w:r>
      <w:r w:rsidRPr="00105FFD">
        <w:rPr>
          <w:rFonts w:cs="Arial"/>
        </w:rPr>
        <w:t>ermittelt sich wie folgt</w:t>
      </w:r>
      <w:r w:rsidR="00FC502B">
        <w:rPr>
          <w:rFonts w:cs="Arial"/>
        </w:rPr>
        <w:t>:</w:t>
      </w:r>
      <w:r w:rsidR="00F059FE">
        <w:rPr>
          <w:rFonts w:cs="Arial"/>
        </w:rPr>
        <w:t xml:space="preserve"> 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CF6AA5" w:rsidRPr="007E211A" w14:paraId="2A3B8EA1" w14:textId="77777777" w:rsidTr="0090071B">
        <w:tc>
          <w:tcPr>
            <w:tcW w:w="7508" w:type="dxa"/>
            <w:shd w:val="clear" w:color="auto" w:fill="D9D9D9" w:themeFill="background1" w:themeFillShade="D9"/>
          </w:tcPr>
          <w:p w14:paraId="6A3D1EAD" w14:textId="22809508" w:rsidR="00CF6AA5" w:rsidRPr="007E211A" w:rsidRDefault="007E211A" w:rsidP="00D216A7">
            <w:pPr>
              <w:spacing w:after="120" w:line="276" w:lineRule="auto"/>
              <w:rPr>
                <w:b/>
              </w:rPr>
            </w:pPr>
            <w:r w:rsidRPr="007E211A">
              <w:rPr>
                <w:b/>
              </w:rPr>
              <w:t xml:space="preserve">Bewertungskriterium </w:t>
            </w:r>
            <w:r w:rsidR="00CF6AA5" w:rsidRPr="007E211A">
              <w:rPr>
                <w:b/>
              </w:rPr>
              <w:t>Bereichsübergreifende Grunds</w:t>
            </w:r>
            <w:r w:rsidR="00105FFD">
              <w:rPr>
                <w:b/>
              </w:rPr>
              <w:t>ä</w:t>
            </w:r>
            <w:r w:rsidR="00CF6AA5" w:rsidRPr="007E211A">
              <w:rPr>
                <w:b/>
              </w:rPr>
              <w:t>tz</w:t>
            </w:r>
            <w:r w:rsidR="00105FFD">
              <w:rPr>
                <w:b/>
              </w:rPr>
              <w:t>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5CED12D" w14:textId="77777777" w:rsidR="00CF6AA5" w:rsidRPr="007E211A" w:rsidRDefault="00CF6AA5" w:rsidP="00D216A7">
            <w:pPr>
              <w:spacing w:after="120" w:line="276" w:lineRule="auto"/>
              <w:jc w:val="center"/>
              <w:rPr>
                <w:b/>
              </w:rPr>
            </w:pPr>
            <w:r w:rsidRPr="007E211A">
              <w:rPr>
                <w:b/>
              </w:rPr>
              <w:t>Punkte</w:t>
            </w:r>
          </w:p>
        </w:tc>
      </w:tr>
      <w:tr w:rsidR="00CF6AA5" w:rsidRPr="00CF6AA5" w14:paraId="4F83CF16" w14:textId="77777777" w:rsidTr="0090071B">
        <w:tc>
          <w:tcPr>
            <w:tcW w:w="7508" w:type="dxa"/>
            <w:shd w:val="clear" w:color="auto" w:fill="D9D9D9" w:themeFill="background1" w:themeFillShade="D9"/>
          </w:tcPr>
          <w:p w14:paraId="49DB83D0" w14:textId="77777777" w:rsidR="00CF6AA5" w:rsidRPr="00CF6AA5" w:rsidRDefault="00CF6AA5" w:rsidP="00D216A7">
            <w:pPr>
              <w:spacing w:after="120" w:line="276" w:lineRule="auto"/>
              <w:rPr>
                <w:b/>
              </w:rPr>
            </w:pPr>
            <w:bookmarkStart w:id="0" w:name="_GoBack"/>
            <w:r w:rsidRPr="00CF6AA5">
              <w:rPr>
                <w:b/>
              </w:rPr>
              <w:t>Geschlechtergleichstellung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55CADCA" w14:textId="3169F372" w:rsidR="00CF6AA5" w:rsidRPr="00CF6AA5" w:rsidRDefault="00065A79" w:rsidP="00D216A7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max. </w:t>
            </w:r>
            <w:r w:rsidR="00CF6AA5" w:rsidRPr="00CF6AA5">
              <w:rPr>
                <w:b/>
              </w:rPr>
              <w:t>2</w:t>
            </w:r>
          </w:p>
        </w:tc>
      </w:tr>
      <w:bookmarkEnd w:id="0"/>
      <w:tr w:rsidR="00CF6AA5" w14:paraId="2E009D65" w14:textId="77777777" w:rsidTr="0090071B">
        <w:tc>
          <w:tcPr>
            <w:tcW w:w="7508" w:type="dxa"/>
          </w:tcPr>
          <w:p w14:paraId="0EAC5B62" w14:textId="77777777" w:rsidR="00CF6AA5" w:rsidRDefault="00CF6AA5" w:rsidP="00D216A7">
            <w:pPr>
              <w:spacing w:after="120" w:line="276" w:lineRule="auto"/>
            </w:pPr>
            <w:r>
              <w:rPr>
                <w:rFonts w:cs="Arial"/>
              </w:rPr>
              <w:t xml:space="preserve">auf </w:t>
            </w:r>
            <w:r w:rsidRPr="00685F52">
              <w:rPr>
                <w:rFonts w:cs="Arial"/>
                <w:iCs/>
              </w:rPr>
              <w:t>die Gleichstellung der Geschlechter ausgerichtet</w:t>
            </w:r>
          </w:p>
        </w:tc>
        <w:tc>
          <w:tcPr>
            <w:tcW w:w="1559" w:type="dxa"/>
          </w:tcPr>
          <w:p w14:paraId="053A70A8" w14:textId="77777777" w:rsidR="00CF6AA5" w:rsidRDefault="00CF6AA5" w:rsidP="00D216A7">
            <w:pPr>
              <w:spacing w:after="120" w:line="276" w:lineRule="auto"/>
              <w:jc w:val="center"/>
            </w:pPr>
            <w:r>
              <w:t>2</w:t>
            </w:r>
          </w:p>
        </w:tc>
      </w:tr>
      <w:tr w:rsidR="00CF6AA5" w14:paraId="17818105" w14:textId="77777777" w:rsidTr="0090071B">
        <w:tc>
          <w:tcPr>
            <w:tcW w:w="7508" w:type="dxa"/>
          </w:tcPr>
          <w:p w14:paraId="68A306A7" w14:textId="77777777" w:rsidR="00CF6AA5" w:rsidRDefault="00CF6AA5" w:rsidP="00D216A7">
            <w:pPr>
              <w:spacing w:after="120" w:line="276" w:lineRule="auto"/>
            </w:pPr>
            <w:r>
              <w:t xml:space="preserve">berücksichtigt </w:t>
            </w:r>
            <w:r w:rsidRPr="00685F52">
              <w:rPr>
                <w:rFonts w:cs="Arial"/>
                <w:iCs/>
              </w:rPr>
              <w:t xml:space="preserve">die Geschlechtergleichstellung </w:t>
            </w:r>
            <w:r>
              <w:rPr>
                <w:rFonts w:cs="Arial"/>
                <w:iCs/>
              </w:rPr>
              <w:t>durchgängig</w:t>
            </w:r>
          </w:p>
        </w:tc>
        <w:tc>
          <w:tcPr>
            <w:tcW w:w="1559" w:type="dxa"/>
          </w:tcPr>
          <w:p w14:paraId="51432223" w14:textId="77777777" w:rsidR="00CF6AA5" w:rsidRDefault="00CF6AA5" w:rsidP="00D216A7">
            <w:pPr>
              <w:spacing w:after="120" w:line="276" w:lineRule="auto"/>
              <w:jc w:val="center"/>
            </w:pPr>
            <w:r>
              <w:t>1</w:t>
            </w:r>
          </w:p>
        </w:tc>
      </w:tr>
      <w:tr w:rsidR="00CF6AA5" w14:paraId="7CC5DF81" w14:textId="77777777" w:rsidTr="0090071B">
        <w:tc>
          <w:tcPr>
            <w:tcW w:w="7508" w:type="dxa"/>
          </w:tcPr>
          <w:p w14:paraId="5E3F4A4C" w14:textId="77777777" w:rsidR="00CF6AA5" w:rsidRDefault="00CF6AA5" w:rsidP="00D216A7">
            <w:pPr>
              <w:spacing w:after="120" w:line="276" w:lineRule="auto"/>
            </w:pPr>
            <w:r w:rsidRPr="00685F52">
              <w:rPr>
                <w:rFonts w:cs="Arial"/>
                <w:iCs/>
              </w:rPr>
              <w:t>kein Bezug zur Gleichstellung der Geschlechter</w:t>
            </w:r>
          </w:p>
        </w:tc>
        <w:tc>
          <w:tcPr>
            <w:tcW w:w="1559" w:type="dxa"/>
          </w:tcPr>
          <w:p w14:paraId="3D122944" w14:textId="77777777" w:rsidR="00CF6AA5" w:rsidRDefault="00CF6AA5" w:rsidP="00D216A7">
            <w:pPr>
              <w:spacing w:after="120" w:line="276" w:lineRule="auto"/>
              <w:jc w:val="center"/>
            </w:pPr>
            <w:r>
              <w:t>0</w:t>
            </w:r>
          </w:p>
        </w:tc>
      </w:tr>
      <w:tr w:rsidR="00CF6AA5" w:rsidRPr="00CF6AA5" w14:paraId="1AF575ED" w14:textId="77777777" w:rsidTr="0090071B">
        <w:tc>
          <w:tcPr>
            <w:tcW w:w="7508" w:type="dxa"/>
            <w:shd w:val="clear" w:color="auto" w:fill="D9D9D9" w:themeFill="background1" w:themeFillShade="D9"/>
          </w:tcPr>
          <w:p w14:paraId="4E1C54D8" w14:textId="21109A0F" w:rsidR="00CF6AA5" w:rsidRPr="00CF6AA5" w:rsidRDefault="00CF6AA5" w:rsidP="00D216A7">
            <w:pPr>
              <w:spacing w:after="120" w:line="276" w:lineRule="auto"/>
              <w:rPr>
                <w:b/>
              </w:rPr>
            </w:pPr>
            <w:r w:rsidRPr="00CF6AA5">
              <w:rPr>
                <w:b/>
              </w:rPr>
              <w:t>Nichtdiskriminierung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FEFBB69" w14:textId="77777777" w:rsidR="00CF6AA5" w:rsidRPr="00CF6AA5" w:rsidRDefault="00065A79" w:rsidP="00D216A7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max. </w:t>
            </w:r>
            <w:r w:rsidR="00CF6AA5" w:rsidRPr="00CF6AA5">
              <w:rPr>
                <w:b/>
              </w:rPr>
              <w:t>2</w:t>
            </w:r>
          </w:p>
        </w:tc>
      </w:tr>
      <w:tr w:rsidR="00CF6AA5" w14:paraId="01A6BBC5" w14:textId="77777777" w:rsidTr="0090071B">
        <w:tc>
          <w:tcPr>
            <w:tcW w:w="7508" w:type="dxa"/>
          </w:tcPr>
          <w:p w14:paraId="55B9C336" w14:textId="77777777" w:rsidR="00CF6AA5" w:rsidRDefault="00CF6AA5" w:rsidP="00D216A7">
            <w:pPr>
              <w:spacing w:after="120" w:line="276" w:lineRule="auto"/>
            </w:pPr>
            <w:r>
              <w:rPr>
                <w:rFonts w:cs="Arial"/>
              </w:rPr>
              <w:t xml:space="preserve">auf </w:t>
            </w:r>
            <w:r w:rsidRPr="00A3166E">
              <w:rPr>
                <w:rFonts w:cs="Arial"/>
              </w:rPr>
              <w:t>die Nichtdiskriminierung ausgerichtet</w:t>
            </w:r>
          </w:p>
        </w:tc>
        <w:tc>
          <w:tcPr>
            <w:tcW w:w="1559" w:type="dxa"/>
          </w:tcPr>
          <w:p w14:paraId="5282DEB6" w14:textId="77777777" w:rsidR="00CF6AA5" w:rsidRDefault="00CF6AA5" w:rsidP="00D216A7">
            <w:pPr>
              <w:spacing w:after="120" w:line="276" w:lineRule="auto"/>
              <w:jc w:val="center"/>
            </w:pPr>
            <w:r>
              <w:t>2</w:t>
            </w:r>
          </w:p>
        </w:tc>
      </w:tr>
      <w:tr w:rsidR="00CF6AA5" w14:paraId="0D7AF16D" w14:textId="77777777" w:rsidTr="0090071B">
        <w:tc>
          <w:tcPr>
            <w:tcW w:w="7508" w:type="dxa"/>
          </w:tcPr>
          <w:p w14:paraId="747E2B43" w14:textId="77777777" w:rsidR="00CF6AA5" w:rsidRDefault="00CF6AA5" w:rsidP="00D216A7">
            <w:pPr>
              <w:spacing w:after="120" w:line="276" w:lineRule="auto"/>
            </w:pPr>
            <w:r>
              <w:t>Berücksichtigt die Nichtdiskriminierung durchgängig</w:t>
            </w:r>
          </w:p>
        </w:tc>
        <w:tc>
          <w:tcPr>
            <w:tcW w:w="1559" w:type="dxa"/>
          </w:tcPr>
          <w:p w14:paraId="274E9A1C" w14:textId="77777777" w:rsidR="00CF6AA5" w:rsidRDefault="00CF6AA5" w:rsidP="00D216A7">
            <w:pPr>
              <w:spacing w:after="120" w:line="276" w:lineRule="auto"/>
              <w:jc w:val="center"/>
            </w:pPr>
            <w:r>
              <w:t>1</w:t>
            </w:r>
          </w:p>
        </w:tc>
      </w:tr>
      <w:tr w:rsidR="00CF6AA5" w14:paraId="066AE799" w14:textId="77777777" w:rsidTr="0090071B">
        <w:tc>
          <w:tcPr>
            <w:tcW w:w="7508" w:type="dxa"/>
          </w:tcPr>
          <w:p w14:paraId="408CA07D" w14:textId="77777777" w:rsidR="00CF6AA5" w:rsidRDefault="00CF6AA5" w:rsidP="00D216A7">
            <w:pPr>
              <w:spacing w:after="120" w:line="276" w:lineRule="auto"/>
            </w:pPr>
            <w:r>
              <w:lastRenderedPageBreak/>
              <w:t>Kein Bezug zur Nichtdiskriminierung</w:t>
            </w:r>
          </w:p>
        </w:tc>
        <w:tc>
          <w:tcPr>
            <w:tcW w:w="1559" w:type="dxa"/>
          </w:tcPr>
          <w:p w14:paraId="6DF5B698" w14:textId="77777777" w:rsidR="00CF6AA5" w:rsidRDefault="00CF6AA5" w:rsidP="00D216A7">
            <w:pPr>
              <w:spacing w:after="120" w:line="276" w:lineRule="auto"/>
              <w:jc w:val="center"/>
            </w:pPr>
            <w:r>
              <w:t>0</w:t>
            </w:r>
          </w:p>
        </w:tc>
      </w:tr>
      <w:tr w:rsidR="00CF6AA5" w:rsidRPr="00CF6AA5" w14:paraId="01292C98" w14:textId="77777777" w:rsidTr="0090071B">
        <w:tc>
          <w:tcPr>
            <w:tcW w:w="7508" w:type="dxa"/>
            <w:shd w:val="clear" w:color="auto" w:fill="D9D9D9" w:themeFill="background1" w:themeFillShade="D9"/>
          </w:tcPr>
          <w:p w14:paraId="4E438E28" w14:textId="77777777" w:rsidR="00CF6AA5" w:rsidRPr="00CF6AA5" w:rsidRDefault="00CF6AA5" w:rsidP="00D216A7">
            <w:pPr>
              <w:spacing w:after="120" w:line="276" w:lineRule="auto"/>
              <w:rPr>
                <w:b/>
              </w:rPr>
            </w:pPr>
            <w:r w:rsidRPr="00CF6AA5">
              <w:rPr>
                <w:b/>
              </w:rPr>
              <w:t>Nachhaltigkeit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0B16981" w14:textId="77777777" w:rsidR="00CF6AA5" w:rsidRPr="00CF6AA5" w:rsidRDefault="00065A79" w:rsidP="00D216A7">
            <w:pPr>
              <w:spacing w:after="12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max. </w:t>
            </w:r>
            <w:r w:rsidR="00CF6AA5" w:rsidRPr="00CF6AA5">
              <w:rPr>
                <w:b/>
              </w:rPr>
              <w:t>6</w:t>
            </w:r>
          </w:p>
        </w:tc>
      </w:tr>
      <w:tr w:rsidR="00CF6AA5" w14:paraId="5920FFC6" w14:textId="77777777" w:rsidTr="0090071B">
        <w:tc>
          <w:tcPr>
            <w:tcW w:w="7508" w:type="dxa"/>
          </w:tcPr>
          <w:p w14:paraId="23A07593" w14:textId="31FAD2D7" w:rsidR="00CF6AA5" w:rsidRPr="00782CCA" w:rsidRDefault="00125C08" w:rsidP="00782CCA">
            <w:pPr>
              <w:spacing w:after="120" w:line="276" w:lineRule="auto"/>
            </w:pPr>
            <w:r w:rsidRPr="00782CCA">
              <w:t xml:space="preserve">Beitrag zu </w:t>
            </w:r>
            <w:r w:rsidR="00CF6AA5" w:rsidRPr="00782CCA">
              <w:t>ein</w:t>
            </w:r>
            <w:r w:rsidRPr="00782CCA">
              <w:t>em</w:t>
            </w:r>
            <w:r w:rsidR="00CF6AA5" w:rsidRPr="00782CCA">
              <w:t xml:space="preserve"> </w:t>
            </w:r>
            <w:r w:rsidR="00782CCA">
              <w:t xml:space="preserve">der 17 Ziele </w:t>
            </w:r>
            <w:r w:rsidR="00782CCA" w:rsidRPr="00633FEC">
              <w:rPr>
                <w:rFonts w:cs="Arial"/>
              </w:rPr>
              <w:t xml:space="preserve">für eine nachhaltige Entwicklung </w:t>
            </w:r>
            <w:r w:rsidR="00782CCA">
              <w:t xml:space="preserve">der </w:t>
            </w:r>
            <w:r w:rsidR="00782CCA" w:rsidRPr="00633FEC">
              <w:rPr>
                <w:rFonts w:cs="Arial"/>
              </w:rPr>
              <w:t xml:space="preserve">Vereinten Nationen </w:t>
            </w:r>
            <w:r w:rsidR="00782CCA">
              <w:rPr>
                <w:rFonts w:cs="Arial"/>
              </w:rPr>
              <w:t>(</w:t>
            </w:r>
            <w:proofErr w:type="spellStart"/>
            <w:r w:rsidR="00782CCA" w:rsidRPr="004575F7">
              <w:rPr>
                <w:rFonts w:cs="Arial"/>
              </w:rPr>
              <w:t>sustainable</w:t>
            </w:r>
            <w:proofErr w:type="spellEnd"/>
            <w:r w:rsidR="00782CCA" w:rsidRPr="004575F7">
              <w:rPr>
                <w:rFonts w:cs="Arial"/>
              </w:rPr>
              <w:t xml:space="preserve"> </w:t>
            </w:r>
            <w:proofErr w:type="spellStart"/>
            <w:r w:rsidR="00782CCA" w:rsidRPr="004575F7">
              <w:rPr>
                <w:rFonts w:cs="Arial"/>
              </w:rPr>
              <w:t>develop</w:t>
            </w:r>
            <w:r w:rsidR="00782CCA" w:rsidRPr="00C0702D">
              <w:rPr>
                <w:rFonts w:cs="Arial"/>
              </w:rPr>
              <w:t>ment</w:t>
            </w:r>
            <w:proofErr w:type="spellEnd"/>
            <w:r w:rsidR="00782CCA" w:rsidRPr="00C0702D">
              <w:rPr>
                <w:rFonts w:cs="Arial"/>
              </w:rPr>
              <w:t xml:space="preserve"> </w:t>
            </w:r>
            <w:proofErr w:type="spellStart"/>
            <w:r w:rsidR="00782CCA" w:rsidRPr="00C0702D">
              <w:rPr>
                <w:rFonts w:cs="Arial"/>
              </w:rPr>
              <w:t>goals</w:t>
            </w:r>
            <w:proofErr w:type="spellEnd"/>
            <w:r w:rsidR="00782CCA">
              <w:rPr>
                <w:rFonts w:cs="Arial"/>
              </w:rPr>
              <w:t xml:space="preserve"> – SDGs)</w:t>
            </w:r>
          </w:p>
        </w:tc>
        <w:tc>
          <w:tcPr>
            <w:tcW w:w="1559" w:type="dxa"/>
          </w:tcPr>
          <w:p w14:paraId="5DCB3E47" w14:textId="77777777" w:rsidR="00CF6AA5" w:rsidRDefault="00CF6AA5" w:rsidP="00D216A7">
            <w:pPr>
              <w:spacing w:after="120" w:line="276" w:lineRule="auto"/>
              <w:jc w:val="center"/>
            </w:pPr>
            <w:r>
              <w:t>1</w:t>
            </w:r>
          </w:p>
        </w:tc>
      </w:tr>
      <w:tr w:rsidR="00CF6AA5" w14:paraId="54318660" w14:textId="77777777" w:rsidTr="0090071B">
        <w:tc>
          <w:tcPr>
            <w:tcW w:w="7508" w:type="dxa"/>
          </w:tcPr>
          <w:p w14:paraId="62012625" w14:textId="20D8AFD5" w:rsidR="00CF6AA5" w:rsidRDefault="00125C08" w:rsidP="00D216A7">
            <w:pPr>
              <w:spacing w:after="120" w:line="276" w:lineRule="auto"/>
            </w:pPr>
            <w:r>
              <w:t xml:space="preserve">Beitrag zu </w:t>
            </w:r>
            <w:r w:rsidR="00CF6AA5">
              <w:t>zwei SDG</w:t>
            </w:r>
          </w:p>
        </w:tc>
        <w:tc>
          <w:tcPr>
            <w:tcW w:w="1559" w:type="dxa"/>
          </w:tcPr>
          <w:p w14:paraId="612143C3" w14:textId="77777777" w:rsidR="00CF6AA5" w:rsidRDefault="00CF6AA5" w:rsidP="00D216A7">
            <w:pPr>
              <w:spacing w:after="120" w:line="276" w:lineRule="auto"/>
              <w:jc w:val="center"/>
            </w:pPr>
            <w:r>
              <w:t>2</w:t>
            </w:r>
          </w:p>
        </w:tc>
      </w:tr>
      <w:tr w:rsidR="00CF6AA5" w14:paraId="474A39A8" w14:textId="77777777" w:rsidTr="0090071B">
        <w:tc>
          <w:tcPr>
            <w:tcW w:w="7508" w:type="dxa"/>
          </w:tcPr>
          <w:p w14:paraId="0AFCF85B" w14:textId="25823319" w:rsidR="00CF6AA5" w:rsidRDefault="00125C08" w:rsidP="00D216A7">
            <w:pPr>
              <w:spacing w:after="120" w:line="276" w:lineRule="auto"/>
            </w:pPr>
            <w:r>
              <w:t xml:space="preserve">Beitrag zu </w:t>
            </w:r>
            <w:r w:rsidR="00CF6AA5">
              <w:t>mehr als 2 SDG</w:t>
            </w:r>
          </w:p>
        </w:tc>
        <w:tc>
          <w:tcPr>
            <w:tcW w:w="1559" w:type="dxa"/>
          </w:tcPr>
          <w:p w14:paraId="25D0689E" w14:textId="77777777" w:rsidR="00CF6AA5" w:rsidRDefault="00CF6AA5" w:rsidP="00D216A7">
            <w:pPr>
              <w:spacing w:after="120" w:line="276" w:lineRule="auto"/>
              <w:jc w:val="center"/>
            </w:pPr>
            <w:r>
              <w:t>3</w:t>
            </w:r>
          </w:p>
        </w:tc>
      </w:tr>
      <w:tr w:rsidR="00CF6AA5" w14:paraId="3DF53565" w14:textId="77777777" w:rsidTr="0090071B">
        <w:tc>
          <w:tcPr>
            <w:tcW w:w="7508" w:type="dxa"/>
          </w:tcPr>
          <w:p w14:paraId="0592CE15" w14:textId="69650BF9" w:rsidR="00CF6AA5" w:rsidRDefault="00125C08" w:rsidP="00125C08">
            <w:pPr>
              <w:spacing w:after="120" w:line="276" w:lineRule="auto"/>
            </w:pPr>
            <w:r>
              <w:t>Beitrag zur ö</w:t>
            </w:r>
            <w:r w:rsidR="00CF6AA5">
              <w:t>kologische</w:t>
            </w:r>
            <w:r>
              <w:t>n</w:t>
            </w:r>
            <w:r w:rsidR="00CF6AA5">
              <w:t xml:space="preserve"> Dimension</w:t>
            </w:r>
          </w:p>
        </w:tc>
        <w:tc>
          <w:tcPr>
            <w:tcW w:w="1559" w:type="dxa"/>
          </w:tcPr>
          <w:p w14:paraId="6BF8AC41" w14:textId="77777777" w:rsidR="00CF6AA5" w:rsidRDefault="00CF6AA5" w:rsidP="00D216A7">
            <w:pPr>
              <w:spacing w:after="120" w:line="276" w:lineRule="auto"/>
              <w:jc w:val="center"/>
            </w:pPr>
            <w:r>
              <w:t>1</w:t>
            </w:r>
          </w:p>
        </w:tc>
      </w:tr>
      <w:tr w:rsidR="00CF6AA5" w14:paraId="51CF28B8" w14:textId="77777777" w:rsidTr="0090071B">
        <w:tc>
          <w:tcPr>
            <w:tcW w:w="7508" w:type="dxa"/>
          </w:tcPr>
          <w:p w14:paraId="030E403B" w14:textId="773EBB7A" w:rsidR="00CF6AA5" w:rsidRDefault="00125C08" w:rsidP="00125C08">
            <w:pPr>
              <w:spacing w:after="120" w:line="276" w:lineRule="auto"/>
            </w:pPr>
            <w:r>
              <w:t>Beitrag zur ö</w:t>
            </w:r>
            <w:r w:rsidR="00CF6AA5">
              <w:t>konomische</w:t>
            </w:r>
            <w:r>
              <w:t>n</w:t>
            </w:r>
            <w:r w:rsidR="00CF6AA5">
              <w:t xml:space="preserve"> Dimension</w:t>
            </w:r>
          </w:p>
        </w:tc>
        <w:tc>
          <w:tcPr>
            <w:tcW w:w="1559" w:type="dxa"/>
          </w:tcPr>
          <w:p w14:paraId="54C2D76C" w14:textId="77777777" w:rsidR="00CF6AA5" w:rsidRDefault="00CF6AA5" w:rsidP="00D216A7">
            <w:pPr>
              <w:spacing w:after="120" w:line="276" w:lineRule="auto"/>
              <w:jc w:val="center"/>
            </w:pPr>
            <w:r>
              <w:t>1</w:t>
            </w:r>
          </w:p>
        </w:tc>
      </w:tr>
      <w:tr w:rsidR="00CF6AA5" w14:paraId="6DFD30F9" w14:textId="77777777" w:rsidTr="0090071B">
        <w:tc>
          <w:tcPr>
            <w:tcW w:w="7508" w:type="dxa"/>
          </w:tcPr>
          <w:p w14:paraId="135A0D90" w14:textId="1C2DB8A0" w:rsidR="00CF6AA5" w:rsidRDefault="00125C08" w:rsidP="00125C08">
            <w:pPr>
              <w:spacing w:after="120" w:line="276" w:lineRule="auto"/>
            </w:pPr>
            <w:r>
              <w:t>Beitrag zur s</w:t>
            </w:r>
            <w:r w:rsidR="00CF6AA5">
              <w:t>oziale</w:t>
            </w:r>
            <w:r>
              <w:t>n</w:t>
            </w:r>
            <w:r w:rsidR="00CF6AA5">
              <w:t xml:space="preserve"> Dimension</w:t>
            </w:r>
          </w:p>
        </w:tc>
        <w:tc>
          <w:tcPr>
            <w:tcW w:w="1559" w:type="dxa"/>
          </w:tcPr>
          <w:p w14:paraId="00C70450" w14:textId="77777777" w:rsidR="00CF6AA5" w:rsidRDefault="00CF6AA5" w:rsidP="00D216A7">
            <w:pPr>
              <w:spacing w:after="120" w:line="276" w:lineRule="auto"/>
              <w:jc w:val="center"/>
            </w:pPr>
            <w:r>
              <w:t>1</w:t>
            </w:r>
          </w:p>
        </w:tc>
      </w:tr>
      <w:tr w:rsidR="00CF6AA5" w:rsidRPr="00CF6AA5" w14:paraId="7B9F7009" w14:textId="77777777" w:rsidTr="0090071B">
        <w:tc>
          <w:tcPr>
            <w:tcW w:w="7508" w:type="dxa"/>
            <w:shd w:val="clear" w:color="auto" w:fill="D9D9D9" w:themeFill="background1" w:themeFillShade="D9"/>
          </w:tcPr>
          <w:p w14:paraId="254CBE57" w14:textId="77777777" w:rsidR="00CF6AA5" w:rsidRPr="00CF6AA5" w:rsidRDefault="00CF6AA5" w:rsidP="00D216A7">
            <w:pPr>
              <w:spacing w:after="120" w:line="276" w:lineRule="auto"/>
              <w:rPr>
                <w:b/>
              </w:rPr>
            </w:pPr>
            <w:r w:rsidRPr="00CF6AA5">
              <w:rPr>
                <w:b/>
              </w:rPr>
              <w:t>Mögliche Gesamtpunktzahl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C2ED49E" w14:textId="77777777" w:rsidR="00CF6AA5" w:rsidRPr="00CF6AA5" w:rsidRDefault="00CF6AA5" w:rsidP="00D216A7">
            <w:pPr>
              <w:spacing w:after="120" w:line="276" w:lineRule="auto"/>
              <w:jc w:val="center"/>
              <w:rPr>
                <w:b/>
              </w:rPr>
            </w:pPr>
            <w:r w:rsidRPr="00CF6AA5">
              <w:rPr>
                <w:b/>
              </w:rPr>
              <w:t>10</w:t>
            </w:r>
          </w:p>
        </w:tc>
      </w:tr>
    </w:tbl>
    <w:p w14:paraId="2E9A03C7" w14:textId="77777777" w:rsidR="00F059FE" w:rsidRDefault="00F059FE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</w:p>
    <w:p w14:paraId="5726C20F" w14:textId="3DB24763" w:rsidR="00FC502B" w:rsidRDefault="005C7378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  <w:r>
        <w:rPr>
          <w:rFonts w:cs="Arial"/>
        </w:rPr>
        <w:t>Die</w:t>
      </w:r>
      <w:r w:rsidR="00065A79">
        <w:rPr>
          <w:rFonts w:cs="Arial"/>
        </w:rPr>
        <w:t xml:space="preserve"> ermittelte </w:t>
      </w:r>
      <w:r w:rsidR="00E256A6">
        <w:rPr>
          <w:rFonts w:cs="Arial"/>
        </w:rPr>
        <w:t xml:space="preserve">Punktzahl wird </w:t>
      </w:r>
      <w:r w:rsidR="00D216A7">
        <w:rPr>
          <w:rFonts w:cs="Arial"/>
        </w:rPr>
        <w:t xml:space="preserve">wie folgt in das vom </w:t>
      </w:r>
      <w:r>
        <w:rPr>
          <w:rFonts w:cs="Arial"/>
        </w:rPr>
        <w:t>EFRE/JTF-</w:t>
      </w:r>
      <w:r w:rsidR="00D216A7">
        <w:rPr>
          <w:rFonts w:cs="Arial"/>
        </w:rPr>
        <w:t xml:space="preserve">Begleitausschuss </w:t>
      </w:r>
      <w:r>
        <w:rPr>
          <w:rFonts w:cs="Arial"/>
        </w:rPr>
        <w:t xml:space="preserve">NRW </w:t>
      </w:r>
      <w:r w:rsidR="00D216A7">
        <w:rPr>
          <w:rFonts w:cs="Arial"/>
        </w:rPr>
        <w:t>beschlossene Punktesystem überführt: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7508"/>
        <w:gridCol w:w="1559"/>
      </w:tblGrid>
      <w:tr w:rsidR="005C7378" w:rsidRPr="008A78DD" w14:paraId="76AA7C4D" w14:textId="77777777" w:rsidTr="0090071B">
        <w:tc>
          <w:tcPr>
            <w:tcW w:w="7508" w:type="dxa"/>
            <w:shd w:val="clear" w:color="auto" w:fill="D9D9D9" w:themeFill="background1" w:themeFillShade="D9"/>
          </w:tcPr>
          <w:p w14:paraId="04EF8D73" w14:textId="4C85502F" w:rsidR="005C7378" w:rsidRPr="008A78DD" w:rsidRDefault="005C7378" w:rsidP="00D216A7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  <w:b/>
              </w:rPr>
            </w:pPr>
            <w:r w:rsidRPr="008A78DD">
              <w:rPr>
                <w:rFonts w:cs="Arial"/>
                <w:b/>
              </w:rPr>
              <w:t>Punktzahl bereichsübergreifende Grundsätze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51219A4" w14:textId="77777777" w:rsidR="005C7378" w:rsidRPr="008A78DD" w:rsidRDefault="005C7378" w:rsidP="0090071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  <w:b/>
              </w:rPr>
            </w:pPr>
            <w:r w:rsidRPr="008A78DD">
              <w:rPr>
                <w:rFonts w:cs="Arial"/>
                <w:b/>
              </w:rPr>
              <w:t>Punkte</w:t>
            </w:r>
          </w:p>
        </w:tc>
      </w:tr>
      <w:tr w:rsidR="005C7378" w14:paraId="337213A0" w14:textId="77777777" w:rsidTr="0090071B">
        <w:tc>
          <w:tcPr>
            <w:tcW w:w="7508" w:type="dxa"/>
          </w:tcPr>
          <w:p w14:paraId="056F9534" w14:textId="77777777" w:rsidR="005C7378" w:rsidRDefault="005C7378" w:rsidP="005165DA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</w:rPr>
            </w:pPr>
            <w:r>
              <w:rPr>
                <w:rFonts w:cs="Arial"/>
              </w:rPr>
              <w:t>Weniger als 3 Punkte</w:t>
            </w:r>
          </w:p>
        </w:tc>
        <w:tc>
          <w:tcPr>
            <w:tcW w:w="1559" w:type="dxa"/>
          </w:tcPr>
          <w:p w14:paraId="24BBAFDA" w14:textId="77777777" w:rsidR="005C7378" w:rsidRDefault="005C7378" w:rsidP="0090071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</w:tr>
      <w:tr w:rsidR="005C7378" w14:paraId="2D4D1A68" w14:textId="77777777" w:rsidTr="0090071B">
        <w:tc>
          <w:tcPr>
            <w:tcW w:w="7508" w:type="dxa"/>
          </w:tcPr>
          <w:p w14:paraId="3A67B50C" w14:textId="77777777" w:rsidR="005C7378" w:rsidRDefault="005C7378" w:rsidP="00D216A7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</w:rPr>
            </w:pPr>
            <w:r>
              <w:rPr>
                <w:rFonts w:cs="Arial"/>
              </w:rPr>
              <w:t>3 – 4 Punkte</w:t>
            </w:r>
          </w:p>
        </w:tc>
        <w:tc>
          <w:tcPr>
            <w:tcW w:w="1559" w:type="dxa"/>
          </w:tcPr>
          <w:p w14:paraId="3799519F" w14:textId="77777777" w:rsidR="005C7378" w:rsidRDefault="005C7378" w:rsidP="0090071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5C7378" w14:paraId="07CE76C0" w14:textId="77777777" w:rsidTr="0090071B">
        <w:tc>
          <w:tcPr>
            <w:tcW w:w="7508" w:type="dxa"/>
          </w:tcPr>
          <w:p w14:paraId="01FADD34" w14:textId="77777777" w:rsidR="005C7378" w:rsidRDefault="005C7378" w:rsidP="00D216A7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</w:rPr>
            </w:pPr>
            <w:r>
              <w:rPr>
                <w:rFonts w:cs="Arial"/>
              </w:rPr>
              <w:t>5 – 6 Punkte</w:t>
            </w:r>
          </w:p>
        </w:tc>
        <w:tc>
          <w:tcPr>
            <w:tcW w:w="1559" w:type="dxa"/>
          </w:tcPr>
          <w:p w14:paraId="1004CA11" w14:textId="77777777" w:rsidR="005C7378" w:rsidRDefault="005C7378" w:rsidP="0090071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5C7378" w14:paraId="5BEA2C44" w14:textId="77777777" w:rsidTr="0090071B">
        <w:tc>
          <w:tcPr>
            <w:tcW w:w="7508" w:type="dxa"/>
          </w:tcPr>
          <w:p w14:paraId="16AE5009" w14:textId="77777777" w:rsidR="005C7378" w:rsidRDefault="005C7378" w:rsidP="00D216A7">
            <w:pPr>
              <w:autoSpaceDE w:val="0"/>
              <w:autoSpaceDN w:val="0"/>
              <w:adjustRightInd w:val="0"/>
              <w:spacing w:after="120" w:line="276" w:lineRule="auto"/>
              <w:rPr>
                <w:rFonts w:cs="Arial"/>
              </w:rPr>
            </w:pPr>
            <w:r>
              <w:rPr>
                <w:rFonts w:cs="Arial"/>
              </w:rPr>
              <w:t>Mehr als 6 Punkte</w:t>
            </w:r>
          </w:p>
        </w:tc>
        <w:tc>
          <w:tcPr>
            <w:tcW w:w="1559" w:type="dxa"/>
          </w:tcPr>
          <w:p w14:paraId="38412A29" w14:textId="77777777" w:rsidR="005C7378" w:rsidRDefault="005C7378" w:rsidP="0090071B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</w:tbl>
    <w:p w14:paraId="41B117A0" w14:textId="77777777" w:rsidR="00891C54" w:rsidRDefault="00891C54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</w:p>
    <w:p w14:paraId="41E436AF" w14:textId="0D9AF0C7" w:rsidR="00891C54" w:rsidRDefault="00E256A6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  <w:r>
        <w:rPr>
          <w:rFonts w:cs="Arial"/>
        </w:rPr>
        <w:t xml:space="preserve">Die erreichte Punktzahl gibt dem Begutachtungsausschuss einen Anhaltspunkt für die Bewertung </w:t>
      </w:r>
      <w:r w:rsidR="00FA38D5">
        <w:rPr>
          <w:rFonts w:cs="Arial"/>
        </w:rPr>
        <w:t>ein</w:t>
      </w:r>
      <w:r w:rsidR="00D443DA">
        <w:rPr>
          <w:rFonts w:cs="Arial"/>
        </w:rPr>
        <w:t>es</w:t>
      </w:r>
      <w:r w:rsidR="00FA38D5">
        <w:rPr>
          <w:rFonts w:cs="Arial"/>
        </w:rPr>
        <w:t xml:space="preserve"> Vorhaben</w:t>
      </w:r>
      <w:r w:rsidR="00D443DA">
        <w:rPr>
          <w:rFonts w:cs="Arial"/>
        </w:rPr>
        <w:t>s im Hinblick auf seinen Beitrag</w:t>
      </w:r>
      <w:r w:rsidR="00FA38D5">
        <w:rPr>
          <w:rFonts w:cs="Arial"/>
        </w:rPr>
        <w:t xml:space="preserve"> zu den</w:t>
      </w:r>
      <w:r>
        <w:rPr>
          <w:rFonts w:cs="Arial"/>
        </w:rPr>
        <w:t xml:space="preserve"> </w:t>
      </w:r>
      <w:r w:rsidR="005C7378">
        <w:rPr>
          <w:rFonts w:cs="Arial"/>
        </w:rPr>
        <w:t>bereichsübergreifenden Grundsätze</w:t>
      </w:r>
      <w:r w:rsidR="00FA38D5">
        <w:rPr>
          <w:rFonts w:cs="Arial"/>
        </w:rPr>
        <w:t>n</w:t>
      </w:r>
      <w:r>
        <w:rPr>
          <w:rFonts w:cs="Arial"/>
        </w:rPr>
        <w:t>.</w:t>
      </w:r>
      <w:r w:rsidR="00FA38D5">
        <w:rPr>
          <w:rFonts w:cs="Arial"/>
        </w:rPr>
        <w:t xml:space="preserve"> De</w:t>
      </w:r>
      <w:r w:rsidR="00C444B8">
        <w:rPr>
          <w:rFonts w:cs="Arial"/>
        </w:rPr>
        <w:t xml:space="preserve">r </w:t>
      </w:r>
      <w:r w:rsidR="00FA38D5">
        <w:rPr>
          <w:rFonts w:cs="Arial"/>
        </w:rPr>
        <w:t xml:space="preserve">Begutachtungsausschuss </w:t>
      </w:r>
      <w:r w:rsidR="00C444B8">
        <w:rPr>
          <w:rFonts w:cs="Arial"/>
        </w:rPr>
        <w:t>kann</w:t>
      </w:r>
      <w:r w:rsidR="0090071B">
        <w:rPr>
          <w:rFonts w:cs="Arial"/>
        </w:rPr>
        <w:t xml:space="preserve"> von dem Bewertungssystem abweichen. Die Gründe sind</w:t>
      </w:r>
      <w:r w:rsidR="00EA5CAE">
        <w:rPr>
          <w:rFonts w:cs="Arial"/>
        </w:rPr>
        <w:t xml:space="preserve"> im Sitzungsprotokoll zu dokumentieren</w:t>
      </w:r>
      <w:r w:rsidR="0090071B">
        <w:rPr>
          <w:rFonts w:cs="Arial"/>
        </w:rPr>
        <w:t>.</w:t>
      </w:r>
    </w:p>
    <w:p w14:paraId="6606A4AF" w14:textId="5603AE51" w:rsidR="00FA38D5" w:rsidRPr="009C5BC7" w:rsidRDefault="00FA38D5" w:rsidP="00FA38D5">
      <w:pPr>
        <w:spacing w:after="160" w:line="259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 xml:space="preserve">Die vom Begutachtungsausschuss festgelegte Punktzahl fließt in die unter </w:t>
      </w:r>
      <w:r w:rsidR="00FD031E">
        <w:rPr>
          <w:rFonts w:eastAsia="Times New Roman" w:cs="Arial"/>
          <w:lang w:eastAsia="de-DE"/>
        </w:rPr>
        <w:t>Nummer 1</w:t>
      </w:r>
      <w:r>
        <w:rPr>
          <w:rFonts w:eastAsia="Times New Roman" w:cs="Arial"/>
          <w:lang w:eastAsia="de-DE"/>
        </w:rPr>
        <w:t xml:space="preserve"> </w:t>
      </w:r>
      <w:r w:rsidR="00FD031E">
        <w:rPr>
          <w:rFonts w:eastAsia="Times New Roman" w:cs="Arial"/>
          <w:lang w:eastAsia="de-DE"/>
        </w:rPr>
        <w:t>(</w:t>
      </w:r>
      <w:r w:rsidR="00782CCA" w:rsidRPr="00782CCA">
        <w:rPr>
          <w:rFonts w:cs="Arial"/>
        </w:rPr>
        <w:t>Projektauswahlkriterien</w:t>
      </w:r>
      <w:r w:rsidR="00782CCA">
        <w:rPr>
          <w:rFonts w:cs="Arial"/>
        </w:rPr>
        <w:t>)</w:t>
      </w:r>
      <w:r w:rsidR="00782CCA" w:rsidRPr="00782CCA">
        <w:rPr>
          <w:rFonts w:eastAsia="Times New Roman" w:cs="Arial"/>
          <w:lang w:eastAsia="de-DE"/>
        </w:rPr>
        <w:t xml:space="preserve"> </w:t>
      </w:r>
      <w:r w:rsidRPr="00782CCA">
        <w:rPr>
          <w:rFonts w:eastAsia="Times New Roman" w:cs="Arial"/>
          <w:lang w:eastAsia="de-DE"/>
        </w:rPr>
        <w:t>beschriebene Gesamtbewertung</w:t>
      </w:r>
      <w:r>
        <w:rPr>
          <w:rFonts w:eastAsia="Times New Roman" w:cs="Arial"/>
          <w:lang w:eastAsia="de-DE"/>
        </w:rPr>
        <w:t xml:space="preserve"> ein. </w:t>
      </w:r>
    </w:p>
    <w:p w14:paraId="6B129E14" w14:textId="77777777" w:rsidR="00E256A6" w:rsidRPr="00CF6AA5" w:rsidRDefault="00E256A6" w:rsidP="00D216A7">
      <w:pPr>
        <w:autoSpaceDE w:val="0"/>
        <w:autoSpaceDN w:val="0"/>
        <w:adjustRightInd w:val="0"/>
        <w:spacing w:after="120" w:line="276" w:lineRule="auto"/>
        <w:rPr>
          <w:rFonts w:cs="Arial"/>
        </w:rPr>
      </w:pPr>
    </w:p>
    <w:sectPr w:rsidR="00E256A6" w:rsidRPr="00CF6AA5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6365B" w14:textId="77777777" w:rsidR="000C4627" w:rsidRDefault="000C4627" w:rsidP="000C4627">
      <w:pPr>
        <w:spacing w:line="240" w:lineRule="auto"/>
      </w:pPr>
      <w:r>
        <w:separator/>
      </w:r>
    </w:p>
  </w:endnote>
  <w:endnote w:type="continuationSeparator" w:id="0">
    <w:p w14:paraId="2FD2AA2B" w14:textId="77777777" w:rsidR="000C4627" w:rsidRDefault="000C4627" w:rsidP="000C46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8D0D2" w14:textId="37281FB5" w:rsidR="000C4627" w:rsidRDefault="000C4627" w:rsidP="000C4627">
    <w:pPr>
      <w:tabs>
        <w:tab w:val="center" w:pos="4536"/>
        <w:tab w:val="right" w:pos="9072"/>
      </w:tabs>
      <w:jc w:val="center"/>
      <w:rPr>
        <w:rFonts w:ascii="Calibri" w:eastAsia="Calibri" w:hAnsi="Calibri"/>
        <w:szCs w:val="22"/>
      </w:rPr>
    </w:pPr>
    <w:r>
      <w:rPr>
        <w:rFonts w:ascii="Calibri" w:eastAsia="Calibri" w:hAnsi="Calibri"/>
        <w:sz w:val="20"/>
        <w:szCs w:val="20"/>
      </w:rPr>
      <w:t>EFRE/JTF NRW</w:t>
    </w:r>
    <w:r>
      <w:rPr>
        <w:rFonts w:ascii="Calibri" w:eastAsia="Calibri" w:hAnsi="Calibri"/>
        <w:sz w:val="20"/>
        <w:szCs w:val="20"/>
      </w:rPr>
      <w:tab/>
      <w:t>Stand: 13.10.2023</w:t>
    </w:r>
    <w:r>
      <w:rPr>
        <w:rFonts w:ascii="Calibri" w:eastAsia="Calibri" w:hAnsi="Calibri"/>
        <w:sz w:val="20"/>
        <w:szCs w:val="20"/>
      </w:rPr>
      <w:tab/>
      <w:t xml:space="preserve">Seite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PAGE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>
      <w:rPr>
        <w:rFonts w:ascii="Calibri" w:eastAsia="Calibri" w:hAnsi="Calibri"/>
        <w:b/>
        <w:bCs/>
        <w:noProof/>
        <w:sz w:val="20"/>
        <w:szCs w:val="20"/>
      </w:rPr>
      <w:t>3</w:t>
    </w:r>
    <w:r>
      <w:rPr>
        <w:rFonts w:ascii="Calibri" w:eastAsia="Calibri" w:hAnsi="Calibri"/>
        <w:b/>
        <w:bCs/>
        <w:sz w:val="20"/>
        <w:szCs w:val="20"/>
      </w:rPr>
      <w:fldChar w:fldCharType="end"/>
    </w:r>
    <w:r>
      <w:rPr>
        <w:rFonts w:ascii="Calibri" w:eastAsia="Calibri" w:hAnsi="Calibri"/>
        <w:sz w:val="20"/>
        <w:szCs w:val="20"/>
      </w:rPr>
      <w:t xml:space="preserve"> von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NUMPAGES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>
      <w:rPr>
        <w:rFonts w:ascii="Calibri" w:eastAsia="Calibri" w:hAnsi="Calibri"/>
        <w:b/>
        <w:bCs/>
        <w:noProof/>
        <w:sz w:val="20"/>
        <w:szCs w:val="20"/>
      </w:rPr>
      <w:t>3</w:t>
    </w:r>
    <w:r>
      <w:rPr>
        <w:rFonts w:ascii="Calibri" w:eastAsia="Calibri" w:hAnsi="Calibri"/>
        <w:b/>
        <w:bCs/>
        <w:sz w:val="20"/>
        <w:szCs w:val="20"/>
      </w:rPr>
      <w:fldChar w:fldCharType="end"/>
    </w:r>
  </w:p>
  <w:p w14:paraId="703AD494" w14:textId="77777777" w:rsidR="000C4627" w:rsidRDefault="000C46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95BF0" w14:textId="77777777" w:rsidR="000C4627" w:rsidRDefault="000C4627" w:rsidP="000C4627">
      <w:pPr>
        <w:spacing w:line="240" w:lineRule="auto"/>
      </w:pPr>
      <w:r>
        <w:separator/>
      </w:r>
    </w:p>
  </w:footnote>
  <w:footnote w:type="continuationSeparator" w:id="0">
    <w:p w14:paraId="2C13E3D4" w14:textId="77777777" w:rsidR="000C4627" w:rsidRDefault="000C4627" w:rsidP="000C46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546E"/>
    <w:multiLevelType w:val="multilevel"/>
    <w:tmpl w:val="040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121F52ED"/>
    <w:multiLevelType w:val="multilevel"/>
    <w:tmpl w:val="1A2A46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304C75"/>
    <w:multiLevelType w:val="hybridMultilevel"/>
    <w:tmpl w:val="C1FC5D5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82561"/>
    <w:multiLevelType w:val="hybridMultilevel"/>
    <w:tmpl w:val="1982FFA0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010684"/>
    <w:multiLevelType w:val="hybridMultilevel"/>
    <w:tmpl w:val="A09887A6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B70953"/>
    <w:multiLevelType w:val="hybridMultilevel"/>
    <w:tmpl w:val="EAF660E8"/>
    <w:lvl w:ilvl="0" w:tplc="099C0F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A3889"/>
    <w:multiLevelType w:val="hybridMultilevel"/>
    <w:tmpl w:val="82E4FBDA"/>
    <w:lvl w:ilvl="0" w:tplc="2A08EE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RlQpnWQ7CxYsi+iI3pjUs0C0Qmk+p5EYAmL4kNJ54nBaud9Rkcbjl6lZRKMdiFIdIiyIRazPi33Mqh4xok9Ag==" w:salt="EhVanWjdfHWHusrU6w4xnQ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8B"/>
    <w:rsid w:val="00015F28"/>
    <w:rsid w:val="00065A79"/>
    <w:rsid w:val="000704B7"/>
    <w:rsid w:val="000A0EA4"/>
    <w:rsid w:val="000C4627"/>
    <w:rsid w:val="000E357F"/>
    <w:rsid w:val="00105FFD"/>
    <w:rsid w:val="00125C08"/>
    <w:rsid w:val="00141995"/>
    <w:rsid w:val="0014206C"/>
    <w:rsid w:val="002B5A24"/>
    <w:rsid w:val="00330176"/>
    <w:rsid w:val="00475387"/>
    <w:rsid w:val="004D264B"/>
    <w:rsid w:val="0052581C"/>
    <w:rsid w:val="00562B5B"/>
    <w:rsid w:val="005A5D0C"/>
    <w:rsid w:val="005C5A9A"/>
    <w:rsid w:val="005C7378"/>
    <w:rsid w:val="00604494"/>
    <w:rsid w:val="00640954"/>
    <w:rsid w:val="00662C5D"/>
    <w:rsid w:val="006A0BC9"/>
    <w:rsid w:val="00700CFB"/>
    <w:rsid w:val="00723C66"/>
    <w:rsid w:val="00782CCA"/>
    <w:rsid w:val="007E211A"/>
    <w:rsid w:val="008679EA"/>
    <w:rsid w:val="00891C54"/>
    <w:rsid w:val="008A09AE"/>
    <w:rsid w:val="008A78DD"/>
    <w:rsid w:val="0090071B"/>
    <w:rsid w:val="00926AEC"/>
    <w:rsid w:val="0097528B"/>
    <w:rsid w:val="00994495"/>
    <w:rsid w:val="009B3AAB"/>
    <w:rsid w:val="009C5BC7"/>
    <w:rsid w:val="00A258E9"/>
    <w:rsid w:val="00A96A25"/>
    <w:rsid w:val="00B26C79"/>
    <w:rsid w:val="00C444B8"/>
    <w:rsid w:val="00CA150D"/>
    <w:rsid w:val="00CF6AA5"/>
    <w:rsid w:val="00D216A7"/>
    <w:rsid w:val="00D43A57"/>
    <w:rsid w:val="00D443DA"/>
    <w:rsid w:val="00D46751"/>
    <w:rsid w:val="00DA7072"/>
    <w:rsid w:val="00DD7BAE"/>
    <w:rsid w:val="00E256A6"/>
    <w:rsid w:val="00E5789D"/>
    <w:rsid w:val="00EA5CAE"/>
    <w:rsid w:val="00EB0F00"/>
    <w:rsid w:val="00F059FE"/>
    <w:rsid w:val="00F44804"/>
    <w:rsid w:val="00FA38D5"/>
    <w:rsid w:val="00FC502B"/>
    <w:rsid w:val="00FD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FD7D"/>
  <w15:chartTrackingRefBased/>
  <w15:docId w15:val="{CA344A7C-D910-4399-89CD-75A3EAF5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HAnsi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2581C"/>
    <w:pPr>
      <w:spacing w:after="0" w:line="320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75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059FE"/>
    <w:pPr>
      <w:spacing w:line="240" w:lineRule="auto"/>
      <w:ind w:left="720"/>
      <w:contextualSpacing/>
    </w:pPr>
    <w:rPr>
      <w:rFonts w:eastAsia="Times New Roman" w:cs="Times New Roman"/>
      <w:sz w:val="22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5A7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5A7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5A7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5A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5A7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5A7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5A79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C462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C4627"/>
  </w:style>
  <w:style w:type="paragraph" w:styleId="Fuzeile">
    <w:name w:val="footer"/>
    <w:basedOn w:val="Standard"/>
    <w:link w:val="FuzeileZchn"/>
    <w:uiPriority w:val="99"/>
    <w:unhideWhenUsed/>
    <w:rsid w:val="000C462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4148</Characters>
  <Application>Microsoft Office Word</Application>
  <DocSecurity>8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MWEIMH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Kötter, Kirsten (MWIDE)</dc:creator>
  <cp:keywords/>
  <dc:description/>
  <cp:lastModifiedBy>Mandra, Aylin (MWIKE)</cp:lastModifiedBy>
  <cp:revision>8</cp:revision>
  <dcterms:created xsi:type="dcterms:W3CDTF">2022-11-16T07:41:00Z</dcterms:created>
  <dcterms:modified xsi:type="dcterms:W3CDTF">2023-10-13T13:16:00Z</dcterms:modified>
</cp:coreProperties>
</file>